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ED49" w14:textId="5157FC7F" w:rsidR="008B306A" w:rsidRDefault="00C30F01" w:rsidP="00C30F01">
      <w:pPr>
        <w:spacing w:before="56"/>
        <w:rPr>
          <w:b/>
          <w:i/>
          <w:spacing w:val="-2"/>
        </w:rPr>
      </w:pPr>
      <w:r w:rsidRPr="002474E4">
        <w:rPr>
          <w:b/>
          <w:i/>
          <w:spacing w:val="-2"/>
        </w:rPr>
        <w:t>PRESSEMITTEILUNG</w:t>
      </w:r>
      <w:r w:rsidR="00C23B5D">
        <w:rPr>
          <w:b/>
          <w:i/>
          <w:spacing w:val="-2"/>
        </w:rPr>
        <w:t>, Bonn</w:t>
      </w:r>
      <w:r w:rsidR="000B1F50" w:rsidRPr="002474E4">
        <w:rPr>
          <w:b/>
          <w:i/>
          <w:spacing w:val="-2"/>
        </w:rPr>
        <w:t xml:space="preserve"> im </w:t>
      </w:r>
      <w:r w:rsidR="00877F28">
        <w:rPr>
          <w:b/>
          <w:i/>
          <w:spacing w:val="-2"/>
        </w:rPr>
        <w:t>Juni</w:t>
      </w:r>
      <w:r w:rsidR="000B1F50" w:rsidRPr="002474E4">
        <w:rPr>
          <w:b/>
          <w:i/>
          <w:spacing w:val="-2"/>
        </w:rPr>
        <w:t xml:space="preserve"> 202</w:t>
      </w:r>
      <w:r w:rsidR="00E955D2">
        <w:rPr>
          <w:b/>
          <w:i/>
          <w:spacing w:val="-2"/>
        </w:rPr>
        <w:t>4</w:t>
      </w:r>
      <w:r w:rsidRPr="002474E4">
        <w:rPr>
          <w:b/>
          <w:i/>
          <w:spacing w:val="-2"/>
        </w:rPr>
        <w:t xml:space="preserve"> </w:t>
      </w:r>
    </w:p>
    <w:p w14:paraId="5E7CE82A" w14:textId="77777777" w:rsidR="00C30F01" w:rsidRDefault="00C30F01" w:rsidP="00C30F01">
      <w:pPr>
        <w:pStyle w:val="Textkrper"/>
        <w:rPr>
          <w:b/>
          <w:sz w:val="20"/>
        </w:rPr>
      </w:pPr>
    </w:p>
    <w:p w14:paraId="78E37543" w14:textId="67E48981" w:rsidR="00C30F01" w:rsidRPr="00855B0A" w:rsidRDefault="00035CD3" w:rsidP="005975FD">
      <w:pPr>
        <w:pStyle w:val="Titel"/>
        <w:spacing w:line="276" w:lineRule="auto"/>
        <w:ind w:left="0" w:right="-6"/>
        <w:rPr>
          <w:color w:val="0070C0"/>
          <w:sz w:val="52"/>
          <w:szCs w:val="52"/>
        </w:rPr>
      </w:pPr>
      <w:r w:rsidRPr="00855B0A">
        <w:rPr>
          <w:color w:val="0070C0"/>
          <w:sz w:val="52"/>
          <w:szCs w:val="52"/>
        </w:rPr>
        <w:t>Erfolgreiche Unternehmen trotz</w:t>
      </w:r>
      <w:r w:rsidR="00855B0A" w:rsidRPr="00855B0A">
        <w:rPr>
          <w:color w:val="0070C0"/>
          <w:sz w:val="52"/>
          <w:szCs w:val="52"/>
        </w:rPr>
        <w:t>en</w:t>
      </w:r>
      <w:r w:rsidRPr="00855B0A">
        <w:rPr>
          <w:color w:val="0070C0"/>
          <w:sz w:val="52"/>
          <w:szCs w:val="52"/>
        </w:rPr>
        <w:t xml:space="preserve"> </w:t>
      </w:r>
      <w:r w:rsidR="00855B0A" w:rsidRPr="00855B0A">
        <w:rPr>
          <w:color w:val="0070C0"/>
          <w:sz w:val="52"/>
          <w:szCs w:val="52"/>
        </w:rPr>
        <w:t>Krisen</w:t>
      </w:r>
    </w:p>
    <w:p w14:paraId="49167BA8" w14:textId="52C90ABE" w:rsidR="00C30F01" w:rsidRPr="002B5187" w:rsidRDefault="004F6BF4" w:rsidP="00C30F01">
      <w:pPr>
        <w:spacing w:before="59" w:line="273" w:lineRule="auto"/>
        <w:rPr>
          <w:b/>
          <w:sz w:val="28"/>
          <w:szCs w:val="28"/>
        </w:rPr>
      </w:pPr>
      <w:r w:rsidRPr="002B5187">
        <w:rPr>
          <w:b/>
          <w:sz w:val="28"/>
          <w:szCs w:val="28"/>
        </w:rPr>
        <w:t xml:space="preserve">Turnaroundkongress </w:t>
      </w:r>
      <w:r w:rsidR="00E52EEE" w:rsidRPr="002B5187">
        <w:rPr>
          <w:b/>
          <w:sz w:val="28"/>
          <w:szCs w:val="28"/>
        </w:rPr>
        <w:t xml:space="preserve">2024 </w:t>
      </w:r>
      <w:r w:rsidR="00381A7D" w:rsidRPr="002B5187">
        <w:rPr>
          <w:b/>
          <w:sz w:val="28"/>
          <w:szCs w:val="28"/>
        </w:rPr>
        <w:t xml:space="preserve">steht im Zeichen von </w:t>
      </w:r>
      <w:r w:rsidR="002B5187" w:rsidRPr="002B5187">
        <w:rPr>
          <w:b/>
          <w:sz w:val="28"/>
          <w:szCs w:val="28"/>
        </w:rPr>
        <w:t xml:space="preserve">proaktiver </w:t>
      </w:r>
      <w:r w:rsidR="00381A7D" w:rsidRPr="002B5187">
        <w:rPr>
          <w:b/>
          <w:sz w:val="28"/>
          <w:szCs w:val="28"/>
        </w:rPr>
        <w:t>Zukunftssicherung</w:t>
      </w:r>
    </w:p>
    <w:p w14:paraId="1B478C5F" w14:textId="77777777" w:rsidR="007B6173" w:rsidRDefault="007B6173" w:rsidP="00C30F01"/>
    <w:p w14:paraId="3E29509F" w14:textId="738F9A4B" w:rsidR="00035CD3" w:rsidRDefault="003C45D8" w:rsidP="005317C3">
      <w:pPr>
        <w:spacing w:line="276" w:lineRule="auto"/>
        <w:jc w:val="both"/>
        <w:rPr>
          <w:b/>
          <w:bCs/>
        </w:rPr>
      </w:pPr>
      <w:r>
        <w:rPr>
          <w:b/>
          <w:bCs/>
        </w:rPr>
        <w:t xml:space="preserve">Umsetzbares Wissen </w:t>
      </w:r>
      <w:r w:rsidR="00035CD3">
        <w:rPr>
          <w:b/>
          <w:bCs/>
        </w:rPr>
        <w:t xml:space="preserve">für die proaktive Zukunftssicherung </w:t>
      </w:r>
      <w:r>
        <w:rPr>
          <w:b/>
          <w:bCs/>
        </w:rPr>
        <w:t xml:space="preserve">zum Schutz vor Unternehmenskrisen stand im Fokus beim XII. </w:t>
      </w:r>
      <w:r w:rsidR="006B467C">
        <w:rPr>
          <w:b/>
          <w:bCs/>
        </w:rPr>
        <w:t>Turnaroundkongress am 6.</w:t>
      </w:r>
      <w:r>
        <w:rPr>
          <w:b/>
          <w:bCs/>
        </w:rPr>
        <w:t xml:space="preserve"> </w:t>
      </w:r>
      <w:r w:rsidR="00855B0A">
        <w:rPr>
          <w:b/>
          <w:bCs/>
        </w:rPr>
        <w:t>u</w:t>
      </w:r>
      <w:r>
        <w:rPr>
          <w:b/>
          <w:bCs/>
        </w:rPr>
        <w:t>nd 7</w:t>
      </w:r>
      <w:r w:rsidR="006B467C">
        <w:rPr>
          <w:b/>
          <w:bCs/>
        </w:rPr>
        <w:t>. Juni 2024 im Rheinhotel Dreesen</w:t>
      </w:r>
      <w:r>
        <w:rPr>
          <w:b/>
          <w:bCs/>
        </w:rPr>
        <w:t xml:space="preserve"> in Bonn</w:t>
      </w:r>
      <w:r w:rsidR="006B467C">
        <w:rPr>
          <w:b/>
          <w:bCs/>
        </w:rPr>
        <w:t xml:space="preserve">. </w:t>
      </w:r>
      <w:r>
        <w:rPr>
          <w:b/>
          <w:bCs/>
        </w:rPr>
        <w:t>Innovation</w:t>
      </w:r>
      <w:r w:rsidR="00D0357D">
        <w:rPr>
          <w:b/>
          <w:bCs/>
        </w:rPr>
        <w:t>en</w:t>
      </w:r>
      <w:r w:rsidR="00035CD3">
        <w:rPr>
          <w:b/>
          <w:bCs/>
        </w:rPr>
        <w:t>, Kooperationen</w:t>
      </w:r>
      <w:r>
        <w:rPr>
          <w:b/>
          <w:bCs/>
        </w:rPr>
        <w:t xml:space="preserve"> und Nachhaltigkeit </w:t>
      </w:r>
      <w:r w:rsidR="00D0357D">
        <w:rPr>
          <w:b/>
          <w:bCs/>
        </w:rPr>
        <w:t xml:space="preserve">kristallisierten sich dabei als </w:t>
      </w:r>
      <w:r w:rsidR="00035CD3">
        <w:rPr>
          <w:b/>
          <w:bCs/>
        </w:rPr>
        <w:t xml:space="preserve">maßgebliche </w:t>
      </w:r>
      <w:r w:rsidR="00D0357D">
        <w:rPr>
          <w:b/>
          <w:bCs/>
        </w:rPr>
        <w:t xml:space="preserve">Treiber für zeitgemäßes Wirtschaften heraus. </w:t>
      </w:r>
      <w:r w:rsidR="00855B0A">
        <w:rPr>
          <w:b/>
          <w:bCs/>
        </w:rPr>
        <w:t xml:space="preserve">Erfolgreiche Unternehmen beugen </w:t>
      </w:r>
      <w:r w:rsidR="002F2C28">
        <w:rPr>
          <w:b/>
          <w:bCs/>
        </w:rPr>
        <w:t>recht</w:t>
      </w:r>
      <w:r w:rsidR="00855B0A">
        <w:rPr>
          <w:b/>
          <w:bCs/>
        </w:rPr>
        <w:t>zeitig vor, um heute häufigen und vielfältigen Krisen zu trotzen.</w:t>
      </w:r>
    </w:p>
    <w:p w14:paraId="6759D1FA" w14:textId="77777777" w:rsidR="00035CD3" w:rsidRDefault="00035CD3" w:rsidP="005317C3">
      <w:pPr>
        <w:spacing w:line="276" w:lineRule="auto"/>
        <w:jc w:val="both"/>
        <w:rPr>
          <w:b/>
          <w:bCs/>
        </w:rPr>
      </w:pPr>
    </w:p>
    <w:p w14:paraId="2DC4B507" w14:textId="5A3A0CDC" w:rsidR="00855B0A" w:rsidRDefault="00855B0A" w:rsidP="005317C3">
      <w:pPr>
        <w:spacing w:line="276" w:lineRule="auto"/>
        <w:jc w:val="both"/>
      </w:pPr>
      <w:r w:rsidRPr="00855B0A">
        <w:t xml:space="preserve">„Wir </w:t>
      </w:r>
      <w:r>
        <w:t xml:space="preserve">leben in einer Ära des ständigen Wandels und der Unsicherheit, in der auch wir mit einer Vielzahl von Risiken konfrontiert werden – seien es geopolitische Instabilitäten, technologische Disruptionen, Umweltkrisen oder Pandemien“, sagte </w:t>
      </w:r>
      <w:r w:rsidR="005A4720">
        <w:t>Turnaroundk</w:t>
      </w:r>
      <w:r>
        <w:t xml:space="preserve">ongress-Schirmherrin </w:t>
      </w:r>
      <w:r w:rsidRPr="005A4720">
        <w:rPr>
          <w:b/>
          <w:bCs/>
        </w:rPr>
        <w:t>Claudia Busse-Uhrig</w:t>
      </w:r>
      <w:r>
        <w:t xml:space="preserve"> in ihrer Grußbotschaft. Für die Geschäftsführerin der Viva Maris GmbH und Gründerin dieses „Blue Economy“-Unternehmens, das innovative Produkte aus Meeresalgen als Lebensmittel entwickelt und herstellt, ist es „heute unvermeidlich, dass Unternehmen auf unvorhergesehene Schwierigkeiten stoßen“. Erfolg </w:t>
      </w:r>
      <w:r w:rsidR="002F2C28">
        <w:t>definiere sie daher darüber</w:t>
      </w:r>
      <w:r>
        <w:t xml:space="preserve">, „wie wir diese Krisen erleben, überwinden und </w:t>
      </w:r>
      <w:r w:rsidR="005A4720">
        <w:t>aus ihnen gestärkt hervor</w:t>
      </w:r>
      <w:r w:rsidR="005949DC">
        <w:softHyphen/>
      </w:r>
      <w:r w:rsidR="005A4720">
        <w:t>gehen“. Ein Erfolgsrezept ist ihres Erachtens, „für den immer anstrengenden Turnaround stets über den Tellerrand zu schauen“. Für Unternehmen bedeute dies, permanent Wissen zu teilen, offen Kooperationen anzustreben und Innovationen voranzutreiben.</w:t>
      </w:r>
    </w:p>
    <w:p w14:paraId="461633D9" w14:textId="77777777" w:rsidR="005A4720" w:rsidRDefault="005A4720" w:rsidP="005317C3">
      <w:pPr>
        <w:spacing w:line="276" w:lineRule="auto"/>
        <w:jc w:val="both"/>
      </w:pPr>
    </w:p>
    <w:p w14:paraId="2E0410A9" w14:textId="6631D037" w:rsidR="005A4720" w:rsidRPr="00855B0A" w:rsidRDefault="005A4720" w:rsidP="005317C3">
      <w:pPr>
        <w:spacing w:line="276" w:lineRule="auto"/>
        <w:jc w:val="both"/>
      </w:pPr>
      <w:r w:rsidRPr="00285183">
        <w:rPr>
          <w:b/>
          <w:bCs/>
        </w:rPr>
        <w:t>Per Ledermann</w:t>
      </w:r>
      <w:r>
        <w:t>, CEO der edding Gruppe, prognostizierte: „Unternehmen, die ihrer gesellschaftlichen Verantwortung nicht nachkommen, werden langfristig auch ein wirtschaftliches Problem haben.“</w:t>
      </w:r>
      <w:r w:rsidR="00285183">
        <w:t xml:space="preserve"> Es brauche „schnell eine neue Form des Wirtschaftens, um die großen sozialen und ökologischen Heraus</w:t>
      </w:r>
      <w:r w:rsidR="005949DC">
        <w:softHyphen/>
      </w:r>
      <w:r w:rsidR="00285183">
        <w:t>forderungen unserer Gesellschaft zu meistern“. Sein Familienunternehmen wandle sich deshalb von der gewinnorientierten zur sinnökonomischen Organisation, wofür die Unternehmensführung auf eine „profit-for“-Strategie setze</w:t>
      </w:r>
      <w:r w:rsidR="002F2C28">
        <w:t>.</w:t>
      </w:r>
      <w:r w:rsidR="00285183">
        <w:t xml:space="preserve"> „Wir sehen wirtschaftlichen Erfolg nicht mehr als das Hauptziel, sondern als eine Ressource, um Gutes zu bewirken“, </w:t>
      </w:r>
      <w:r w:rsidR="002F2C28">
        <w:t>präzisierte</w:t>
      </w:r>
      <w:r w:rsidR="00285183">
        <w:t xml:space="preserve"> Ledermann.   </w:t>
      </w:r>
    </w:p>
    <w:p w14:paraId="5285C216" w14:textId="77777777" w:rsidR="00035CD3" w:rsidRDefault="00035CD3" w:rsidP="005317C3">
      <w:pPr>
        <w:spacing w:line="276" w:lineRule="auto"/>
        <w:jc w:val="both"/>
        <w:rPr>
          <w:b/>
          <w:bCs/>
        </w:rPr>
      </w:pPr>
    </w:p>
    <w:p w14:paraId="241FD60C" w14:textId="3FAF3945" w:rsidR="00B80AFB" w:rsidRDefault="00D0357D" w:rsidP="005317C3">
      <w:pPr>
        <w:spacing w:line="276" w:lineRule="auto"/>
        <w:jc w:val="both"/>
      </w:pPr>
      <w:r w:rsidRPr="00035CD3">
        <w:t xml:space="preserve">„Innovationen spielen eine entscheidende Rolle für den Wirtschaftsstandort Deutschland, vor allem im Zeitalter der Polykrise“, sagte </w:t>
      </w:r>
      <w:r w:rsidRPr="002F2C28">
        <w:rPr>
          <w:b/>
          <w:bCs/>
        </w:rPr>
        <w:t>Dr. Malte Busch</w:t>
      </w:r>
      <w:r w:rsidRPr="00035CD3">
        <w:t xml:space="preserve"> vom Fraunhofer-Institut für System- und Inno</w:t>
      </w:r>
      <w:r w:rsidR="005949DC">
        <w:softHyphen/>
      </w:r>
      <w:r w:rsidRPr="00035CD3">
        <w:t>vationsforschung</w:t>
      </w:r>
      <w:r w:rsidR="002F2C28">
        <w:t xml:space="preserve"> (ISI)</w:t>
      </w:r>
      <w:r w:rsidRPr="00035CD3">
        <w:t>.</w:t>
      </w:r>
      <w:r w:rsidR="002F2C28">
        <w:t xml:space="preserve"> Er empfahl dafür Innovationsökosysteme, die dann erfolgreich seien, „wenn Kapital, Know-how und Technologie sinnvoll verknüpft werden</w:t>
      </w:r>
      <w:r w:rsidR="006B467C" w:rsidRPr="00035CD3">
        <w:t>“.</w:t>
      </w:r>
      <w:r w:rsidR="002F2C28">
        <w:t xml:space="preserve"> </w:t>
      </w:r>
      <w:r w:rsidR="007B5105">
        <w:t xml:space="preserve">Geschäftsführer </w:t>
      </w:r>
      <w:r w:rsidR="007B5105" w:rsidRPr="00883FAA">
        <w:rPr>
          <w:b/>
          <w:bCs/>
        </w:rPr>
        <w:t>Daniel Hemker</w:t>
      </w:r>
      <w:r w:rsidR="007B5105">
        <w:t xml:space="preserve"> </w:t>
      </w:r>
      <w:r w:rsidR="00883FAA">
        <w:t>er</w:t>
      </w:r>
      <w:r w:rsidR="005949DC">
        <w:softHyphen/>
      </w:r>
      <w:r w:rsidR="00883FAA">
        <w:t xml:space="preserve">klärte </w:t>
      </w:r>
      <w:r w:rsidR="007B5105">
        <w:t xml:space="preserve">mit </w:t>
      </w:r>
      <w:r w:rsidR="007B5105" w:rsidRPr="00883FAA">
        <w:rPr>
          <w:b/>
          <w:bCs/>
        </w:rPr>
        <w:t>Dr. Stefan Frings</w:t>
      </w:r>
      <w:r w:rsidR="007B5105">
        <w:t xml:space="preserve"> von</w:t>
      </w:r>
      <w:r w:rsidR="00883FAA">
        <w:t xml:space="preserve"> </w:t>
      </w:r>
      <w:r w:rsidR="007B5105">
        <w:t>enomyc</w:t>
      </w:r>
      <w:r w:rsidR="00883FAA">
        <w:t>, wie Nutzfahrzeughersteller Wecon mit Innovationen starke Wettbewerbsvorteile entwickelt hat</w:t>
      </w:r>
      <w:r w:rsidR="007B5105">
        <w:t xml:space="preserve">. </w:t>
      </w:r>
      <w:r w:rsidR="002F2C28">
        <w:t xml:space="preserve">Impulse für Innovationen als neue Geschäftsmodelle lieferte </w:t>
      </w:r>
      <w:r w:rsidR="002F2C28" w:rsidRPr="000A0900">
        <w:rPr>
          <w:b/>
          <w:bCs/>
        </w:rPr>
        <w:t>Prof. Dr. Jörg Dederichs</w:t>
      </w:r>
      <w:r w:rsidR="002F2C28">
        <w:t>, langjähriger Manager beim US-Technologiekonzern 3M</w:t>
      </w:r>
      <w:r w:rsidR="000A0900">
        <w:t>. Dem cleveren Ein</w:t>
      </w:r>
      <w:r w:rsidR="005949DC">
        <w:softHyphen/>
      </w:r>
      <w:r w:rsidR="000A0900">
        <w:t xml:space="preserve">kauf in unsicheren Lieferketten widmete sich </w:t>
      </w:r>
      <w:r w:rsidR="000A0900" w:rsidRPr="00883FAA">
        <w:rPr>
          <w:b/>
          <w:bCs/>
        </w:rPr>
        <w:t>Stephan Weaver</w:t>
      </w:r>
      <w:r w:rsidR="000A0900">
        <w:t xml:space="preserve"> von Kerkhoff Consulting. Mehrere Re</w:t>
      </w:r>
      <w:r w:rsidR="005949DC">
        <w:softHyphen/>
      </w:r>
      <w:r w:rsidR="000A0900">
        <w:t>ferenten beschrieben die guten Möglichkeiten von künstlicher Intelligenz ein, von Energie-Effizienz sowie von Preis- und Personal-Management.</w:t>
      </w:r>
    </w:p>
    <w:p w14:paraId="458E0564" w14:textId="6F6B3FB0" w:rsidR="005317C3" w:rsidRPr="00155167" w:rsidRDefault="00155167" w:rsidP="00155167">
      <w:pPr>
        <w:spacing w:line="276" w:lineRule="auto"/>
        <w:jc w:val="right"/>
      </w:pPr>
      <w:r>
        <w:t xml:space="preserve">Seite </w:t>
      </w:r>
      <w:r w:rsidR="002F2C28">
        <w:t>1</w:t>
      </w:r>
      <w:r>
        <w:t xml:space="preserve"> von </w:t>
      </w:r>
      <w:r w:rsidR="002F2C28">
        <w:t>2</w:t>
      </w:r>
    </w:p>
    <w:p w14:paraId="47C55139" w14:textId="11BDFED0" w:rsidR="00CF6044" w:rsidRDefault="000A0900" w:rsidP="00014703">
      <w:pPr>
        <w:spacing w:line="276" w:lineRule="auto"/>
      </w:pPr>
      <w:r>
        <w:lastRenderedPageBreak/>
        <w:t xml:space="preserve">Neben geeigneten Transformationsprozessen für zukunftsfähige Unternehmen rückte der Turnaroundkongress </w:t>
      </w:r>
      <w:r w:rsidR="00883FAA">
        <w:t xml:space="preserve">in dieser Form einzigartig </w:t>
      </w:r>
      <w:r>
        <w:t xml:space="preserve">auch Krisenbewältigungen in den Mittelpunkt. „Gigaset – Turnaround in Distress“ überschrieb etwa </w:t>
      </w:r>
      <w:r w:rsidRPr="007B5105">
        <w:rPr>
          <w:b/>
          <w:bCs/>
        </w:rPr>
        <w:t>Christian Marc Krause</w:t>
      </w:r>
      <w:r>
        <w:t xml:space="preserve"> seinen Beitrag. Der Ge</w:t>
      </w:r>
      <w:r w:rsidR="005949DC">
        <w:softHyphen/>
      </w:r>
      <w:r>
        <w:t>schäftsführende Gesellschafter der Aderhold Unternehmensberatung berichtete über die erfolgrei</w:t>
      </w:r>
      <w:r w:rsidR="005949DC">
        <w:softHyphen/>
      </w:r>
      <w:r>
        <w:t xml:space="preserve">che Sanierung im Eigenverwaltungsverfahren des insolventen </w:t>
      </w:r>
      <w:r w:rsidR="007B5105">
        <w:t>Telekommunikationsgeräte-H</w:t>
      </w:r>
      <w:r>
        <w:t>erstellers</w:t>
      </w:r>
      <w:r w:rsidR="007B5105">
        <w:t xml:space="preserve">. </w:t>
      </w:r>
    </w:p>
    <w:p w14:paraId="3EEB0288" w14:textId="77777777" w:rsidR="007B5105" w:rsidRDefault="007B5105" w:rsidP="00014703">
      <w:pPr>
        <w:spacing w:line="276" w:lineRule="auto"/>
      </w:pPr>
    </w:p>
    <w:p w14:paraId="0EF2AE6B" w14:textId="30270F80" w:rsidR="008D4071" w:rsidRDefault="007B5105" w:rsidP="00607A0F">
      <w:pPr>
        <w:spacing w:line="276" w:lineRule="auto"/>
      </w:pPr>
      <w:r>
        <w:t xml:space="preserve">Ob wirksamer Krisenschutz für Unternehmen als Frühwarnsystem oder doch eher überwiegend als Zufallsprinzip betrieben wird, diskutierte die dreiköpfige Podiumsrunde aus Insolvenzverwalter </w:t>
      </w:r>
      <w:r w:rsidRPr="00883FAA">
        <w:rPr>
          <w:b/>
          <w:bCs/>
        </w:rPr>
        <w:t>Rolf Rombach</w:t>
      </w:r>
      <w:r>
        <w:t xml:space="preserve">, </w:t>
      </w:r>
      <w:r w:rsidR="00883FAA">
        <w:t xml:space="preserve">Creditreform-Wirtschaftsforschungsleiter </w:t>
      </w:r>
      <w:r w:rsidR="00883FAA" w:rsidRPr="00607A0F">
        <w:rPr>
          <w:b/>
          <w:bCs/>
        </w:rPr>
        <w:t>Patrik-Ludwig Hantsch</w:t>
      </w:r>
      <w:r w:rsidR="00883FAA">
        <w:t xml:space="preserve"> und Beceptum-Geschäftsführer </w:t>
      </w:r>
      <w:r w:rsidR="00883FAA" w:rsidRPr="00607A0F">
        <w:rPr>
          <w:b/>
          <w:bCs/>
        </w:rPr>
        <w:t>Marc Zinkel</w:t>
      </w:r>
      <w:r w:rsidR="00607A0F">
        <w:t>, der als Mitglied des Deutschen Mittelstands-Bundes (DMB) den Ver</w:t>
      </w:r>
      <w:r w:rsidR="005949DC">
        <w:softHyphen/>
      </w:r>
      <w:r w:rsidR="00607A0F">
        <w:t xml:space="preserve">bandspartner der Veranstaltung repräsentierte. </w:t>
      </w:r>
    </w:p>
    <w:p w14:paraId="72BAC342" w14:textId="77777777" w:rsidR="008D4071" w:rsidRDefault="008D4071" w:rsidP="00607A0F">
      <w:pPr>
        <w:spacing w:line="276" w:lineRule="auto"/>
      </w:pPr>
    </w:p>
    <w:p w14:paraId="7AB63EE9" w14:textId="1CAB6C6B" w:rsidR="007B5105" w:rsidRDefault="008D4071" w:rsidP="007B5105">
      <w:pPr>
        <w:spacing w:line="276" w:lineRule="auto"/>
        <w:jc w:val="both"/>
        <w:rPr>
          <w:rFonts w:asciiTheme="minorHAnsi" w:hAnsiTheme="minorHAnsi" w:cstheme="minorHAnsi"/>
          <w:color w:val="000000"/>
        </w:rPr>
      </w:pPr>
      <w:r w:rsidRPr="008D4071">
        <w:rPr>
          <w:rFonts w:asciiTheme="minorHAnsi" w:hAnsiTheme="minorHAnsi" w:cstheme="minorHAnsi"/>
          <w:color w:val="000000"/>
        </w:rPr>
        <w:t>Die rege Diskussion moderierte wie den gesamten Kongress wieder der langjährige Ausrichter, </w:t>
      </w:r>
      <w:r w:rsidRPr="008D4071">
        <w:rPr>
          <w:rFonts w:asciiTheme="minorHAnsi" w:hAnsiTheme="minorHAnsi" w:cstheme="minorHAnsi"/>
          <w:b/>
          <w:bCs/>
          <w:color w:val="000000"/>
        </w:rPr>
        <w:t>Prof. Dr. Hans Haarmeyer</w:t>
      </w:r>
      <w:r w:rsidRPr="008D4071">
        <w:rPr>
          <w:rFonts w:asciiTheme="minorHAnsi" w:hAnsiTheme="minorHAnsi" w:cstheme="minorHAnsi"/>
          <w:color w:val="000000"/>
        </w:rPr>
        <w:t>, Direktor des Instituts für Angewandtes Insolvenzrecht (DIAI), der am Ende des zweitägigen Events lobte: „Der diesjährige Turnaroundkongress hat gezeigt, dass es gerade in Zeiten multipler Krisen um klares und entschlossenes Handeln geht, für das zuvor gute Ideen zur nachhaltigen Unternehmensperspektive entwickelt gehören. Diese wichtige Orientierungshilfe inklusive inspirieren</w:t>
      </w:r>
      <w:r w:rsidR="005949DC">
        <w:rPr>
          <w:rFonts w:asciiTheme="minorHAnsi" w:hAnsiTheme="minorHAnsi" w:cstheme="minorHAnsi"/>
          <w:color w:val="000000"/>
        </w:rPr>
        <w:softHyphen/>
      </w:r>
      <w:r w:rsidRPr="008D4071">
        <w:rPr>
          <w:rFonts w:asciiTheme="minorHAnsi" w:hAnsiTheme="minorHAnsi" w:cstheme="minorHAnsi"/>
          <w:color w:val="000000"/>
        </w:rPr>
        <w:t>der Umsetzungsbeispiele nehmen die Teilnehmenden auch in diesem Jahr wieder mit in ihre Unter</w:t>
      </w:r>
      <w:r w:rsidR="005949DC">
        <w:rPr>
          <w:rFonts w:asciiTheme="minorHAnsi" w:hAnsiTheme="minorHAnsi" w:cstheme="minorHAnsi"/>
          <w:color w:val="000000"/>
        </w:rPr>
        <w:softHyphen/>
      </w:r>
      <w:r w:rsidRPr="008D4071">
        <w:rPr>
          <w:rFonts w:asciiTheme="minorHAnsi" w:hAnsiTheme="minorHAnsi" w:cstheme="minorHAnsi"/>
          <w:color w:val="000000"/>
        </w:rPr>
        <w:t>nehmen.“ </w:t>
      </w:r>
    </w:p>
    <w:p w14:paraId="6D240C57" w14:textId="0B0D2DD5" w:rsidR="00155167" w:rsidRPr="008D4071" w:rsidRDefault="00155167" w:rsidP="007B5105">
      <w:pPr>
        <w:spacing w:line="276" w:lineRule="auto"/>
        <w:jc w:val="both"/>
        <w:rPr>
          <w:rFonts w:asciiTheme="minorHAnsi" w:hAnsiTheme="minorHAnsi" w:cstheme="minorHAnsi"/>
          <w:b/>
          <w:bCs/>
          <w:color w:val="FF0000"/>
        </w:rPr>
      </w:pPr>
      <w:r>
        <w:rPr>
          <w:rFonts w:asciiTheme="minorHAnsi" w:hAnsiTheme="minorHAnsi" w:cstheme="minorHAnsi"/>
          <w:color w:val="000000"/>
        </w:rPr>
        <w:t xml:space="preserve">Für den Veranstalter, die Transformation und Turnaroundkongress GbR, zog Geschäftsführer </w:t>
      </w:r>
      <w:r w:rsidRPr="00155167">
        <w:rPr>
          <w:rFonts w:asciiTheme="minorHAnsi" w:hAnsiTheme="minorHAnsi" w:cstheme="minorHAnsi"/>
          <w:b/>
          <w:bCs/>
          <w:color w:val="000000"/>
        </w:rPr>
        <w:t>André Rombach</w:t>
      </w:r>
      <w:r>
        <w:rPr>
          <w:rFonts w:asciiTheme="minorHAnsi" w:hAnsiTheme="minorHAnsi" w:cstheme="minorHAnsi"/>
          <w:color w:val="000000"/>
        </w:rPr>
        <w:t xml:space="preserve"> ein positives Fazit zum XII. Turnaroundkongress 2024: „Unsere Veranstaltung dient der Auf</w:t>
      </w:r>
      <w:r w:rsidR="005949DC">
        <w:rPr>
          <w:rFonts w:asciiTheme="minorHAnsi" w:hAnsiTheme="minorHAnsi" w:cstheme="minorHAnsi"/>
          <w:color w:val="000000"/>
        </w:rPr>
        <w:softHyphen/>
      </w:r>
      <w:r>
        <w:rPr>
          <w:rFonts w:asciiTheme="minorHAnsi" w:hAnsiTheme="minorHAnsi" w:cstheme="minorHAnsi"/>
          <w:color w:val="000000"/>
        </w:rPr>
        <w:t xml:space="preserve">klärung und dem Austausch, um Wissen zum Schutz vor Krisen in Unternehmen zu vermitteln. Dies ist in diesem Jahr wieder hervorragend </w:t>
      </w:r>
      <w:r w:rsidR="008F2B47">
        <w:rPr>
          <w:rFonts w:asciiTheme="minorHAnsi" w:hAnsiTheme="minorHAnsi" w:cstheme="minorHAnsi"/>
          <w:color w:val="000000"/>
        </w:rPr>
        <w:t>geglückt</w:t>
      </w:r>
      <w:r>
        <w:rPr>
          <w:rFonts w:asciiTheme="minorHAnsi" w:hAnsiTheme="minorHAnsi" w:cstheme="minorHAnsi"/>
          <w:color w:val="000000"/>
        </w:rPr>
        <w:t xml:space="preserve"> mit unserem gelungenen Programmmix und unseren interessanten Bühnengästen mit ihren inspirierenden Inhalten. Unser Dank gilt allen Beteiligten.“</w:t>
      </w:r>
    </w:p>
    <w:p w14:paraId="003E37DA" w14:textId="77777777" w:rsidR="00E52EEE" w:rsidRDefault="00E52EEE" w:rsidP="00E974DE">
      <w:pPr>
        <w:spacing w:line="276" w:lineRule="auto"/>
        <w:rPr>
          <w:rFonts w:eastAsia="Times New Roman"/>
          <w:color w:val="000000"/>
          <w:lang w:eastAsia="de-DE"/>
        </w:rPr>
      </w:pPr>
    </w:p>
    <w:p w14:paraId="7601FFBE" w14:textId="45BD0E37" w:rsidR="00155167" w:rsidRPr="00155167" w:rsidRDefault="00E52EEE" w:rsidP="00C56E71">
      <w:pPr>
        <w:spacing w:line="276" w:lineRule="auto"/>
        <w:rPr>
          <w:rFonts w:eastAsia="Times New Roman"/>
          <w:color w:val="0563C1" w:themeColor="hyperlink"/>
          <w:u w:val="single"/>
          <w:lang w:eastAsia="de-DE"/>
        </w:rPr>
      </w:pPr>
      <w:r>
        <w:rPr>
          <w:rFonts w:eastAsia="Times New Roman"/>
          <w:color w:val="000000"/>
          <w:lang w:eastAsia="de-DE"/>
        </w:rPr>
        <w:t xml:space="preserve">Details zur Veranstaltung unter </w:t>
      </w:r>
      <w:hyperlink r:id="rId6" w:history="1">
        <w:r w:rsidRPr="00971FD1">
          <w:rPr>
            <w:rStyle w:val="Hyperlink"/>
            <w:rFonts w:eastAsia="Times New Roman"/>
            <w:lang w:eastAsia="de-DE"/>
          </w:rPr>
          <w:t>www.turnaroundkongress.de</w:t>
        </w:r>
      </w:hyperlink>
    </w:p>
    <w:p w14:paraId="6B6AC0F0" w14:textId="77777777" w:rsidR="00C30F01" w:rsidRDefault="00BD2DE0" w:rsidP="00C56E71">
      <w:pPr>
        <w:spacing w:line="276" w:lineRule="auto"/>
      </w:pPr>
      <w:r>
        <w:t>____________________________________</w:t>
      </w:r>
    </w:p>
    <w:p w14:paraId="7978A1F5" w14:textId="77777777" w:rsidR="00D92457" w:rsidRDefault="00D92457" w:rsidP="00C30F01">
      <w:pPr>
        <w:spacing w:line="280" w:lineRule="auto"/>
        <w:rPr>
          <w:b/>
          <w:i/>
          <w:sz w:val="17"/>
        </w:rPr>
      </w:pPr>
    </w:p>
    <w:p w14:paraId="23EA2E10" w14:textId="31594438" w:rsidR="005975FD" w:rsidRDefault="007F2630" w:rsidP="00C30F01">
      <w:pPr>
        <w:spacing w:line="280" w:lineRule="auto"/>
        <w:rPr>
          <w:b/>
          <w:i/>
          <w:sz w:val="17"/>
        </w:rPr>
      </w:pPr>
      <w:r>
        <w:rPr>
          <w:b/>
          <w:i/>
          <w:sz w:val="17"/>
        </w:rPr>
        <w:t>IM KURZPORTRÄT</w:t>
      </w:r>
    </w:p>
    <w:p w14:paraId="7889866E" w14:textId="77777777" w:rsidR="007F2630" w:rsidRPr="004E4A6C" w:rsidRDefault="007F2630" w:rsidP="00C30F01">
      <w:pPr>
        <w:spacing w:line="280" w:lineRule="auto"/>
        <w:rPr>
          <w:b/>
          <w:i/>
          <w:sz w:val="17"/>
        </w:rPr>
      </w:pPr>
    </w:p>
    <w:p w14:paraId="69F5F19A" w14:textId="531AD330" w:rsidR="00C30F01" w:rsidRDefault="00314C53" w:rsidP="00C30F01">
      <w:pPr>
        <w:spacing w:line="280" w:lineRule="auto"/>
        <w:rPr>
          <w:b/>
          <w:sz w:val="17"/>
        </w:rPr>
      </w:pPr>
      <w:r>
        <w:rPr>
          <w:b/>
          <w:color w:val="0070C0"/>
          <w:sz w:val="17"/>
        </w:rPr>
        <w:t>Transformation- und Turnaroundkonkgress GbR</w:t>
      </w:r>
      <w:r w:rsidR="00C30F01" w:rsidRPr="00A72685">
        <w:rPr>
          <w:b/>
          <w:color w:val="0070C0"/>
          <w:spacing w:val="-1"/>
          <w:sz w:val="17"/>
        </w:rPr>
        <w:t xml:space="preserve"> </w:t>
      </w:r>
      <w:r w:rsidR="005975FD" w:rsidRPr="00A72685">
        <w:rPr>
          <w:b/>
          <w:color w:val="0070C0"/>
          <w:spacing w:val="-1"/>
          <w:sz w:val="17"/>
        </w:rPr>
        <w:t>(</w:t>
      </w:r>
      <w:r>
        <w:rPr>
          <w:b/>
          <w:color w:val="0070C0"/>
          <w:spacing w:val="-1"/>
          <w:sz w:val="17"/>
        </w:rPr>
        <w:t>TuT</w:t>
      </w:r>
      <w:r w:rsidR="005975FD" w:rsidRPr="00A72685">
        <w:rPr>
          <w:b/>
          <w:color w:val="0070C0"/>
          <w:spacing w:val="-1"/>
          <w:sz w:val="17"/>
        </w:rPr>
        <w:t>)</w:t>
      </w:r>
    </w:p>
    <w:p w14:paraId="1B42A053" w14:textId="0824E7E1" w:rsidR="00C30F01" w:rsidRDefault="004E21F7" w:rsidP="00C30F01">
      <w:pPr>
        <w:spacing w:line="276" w:lineRule="auto"/>
        <w:ind w:right="139"/>
        <w:rPr>
          <w:sz w:val="17"/>
        </w:rPr>
      </w:pPr>
      <w:r>
        <w:rPr>
          <w:sz w:val="17"/>
        </w:rPr>
        <w:t>Mit den beiden Kanzleien Rombach Rechtsanwälte aus Erfurt und Bograkos Rechtsanwälte aus Berlin sowie den beiden Beratun</w:t>
      </w:r>
      <w:r w:rsidR="005949DC">
        <w:rPr>
          <w:sz w:val="17"/>
        </w:rPr>
        <w:softHyphen/>
      </w:r>
      <w:r>
        <w:rPr>
          <w:sz w:val="17"/>
        </w:rPr>
        <w:t xml:space="preserve">gen enomyc aus Hamburg und V3 aus Ettlingen bei Karlsruhe </w:t>
      </w:r>
      <w:r w:rsidR="00C428E7">
        <w:rPr>
          <w:sz w:val="17"/>
        </w:rPr>
        <w:t>gründeten</w:t>
      </w:r>
      <w:r>
        <w:rPr>
          <w:sz w:val="17"/>
        </w:rPr>
        <w:t xml:space="preserve"> vier Gesellschafter </w:t>
      </w:r>
      <w:r w:rsidR="00C428E7">
        <w:rPr>
          <w:sz w:val="17"/>
        </w:rPr>
        <w:t>die Transformation- und Turnaround</w:t>
      </w:r>
      <w:r w:rsidR="005949DC">
        <w:rPr>
          <w:sz w:val="17"/>
        </w:rPr>
        <w:softHyphen/>
      </w:r>
      <w:r w:rsidR="00C428E7">
        <w:rPr>
          <w:sz w:val="17"/>
        </w:rPr>
        <w:t>kongress G</w:t>
      </w:r>
      <w:r w:rsidR="007F2630">
        <w:rPr>
          <w:sz w:val="17"/>
        </w:rPr>
        <w:t>esellschaft bürgerlichen Rechts (GbR)</w:t>
      </w:r>
      <w:r w:rsidR="00C428E7">
        <w:rPr>
          <w:sz w:val="17"/>
        </w:rPr>
        <w:t xml:space="preserve">. Die vier </w:t>
      </w:r>
      <w:r>
        <w:rPr>
          <w:sz w:val="17"/>
        </w:rPr>
        <w:t xml:space="preserve">Partner </w:t>
      </w:r>
      <w:r w:rsidR="00C428E7">
        <w:rPr>
          <w:sz w:val="17"/>
        </w:rPr>
        <w:t xml:space="preserve">schlossen </w:t>
      </w:r>
      <w:r>
        <w:rPr>
          <w:sz w:val="17"/>
        </w:rPr>
        <w:t xml:space="preserve">im Jahr 2022 </w:t>
      </w:r>
      <w:r w:rsidR="00C428E7">
        <w:rPr>
          <w:sz w:val="17"/>
        </w:rPr>
        <w:t>einen</w:t>
      </w:r>
      <w:r>
        <w:rPr>
          <w:sz w:val="17"/>
        </w:rPr>
        <w:t xml:space="preserve"> </w:t>
      </w:r>
      <w:r w:rsidR="007F2630">
        <w:rPr>
          <w:sz w:val="17"/>
        </w:rPr>
        <w:t>Gesellschafterv</w:t>
      </w:r>
      <w:r>
        <w:rPr>
          <w:sz w:val="17"/>
        </w:rPr>
        <w:t>ertrag</w:t>
      </w:r>
      <w:r w:rsidR="00C428E7">
        <w:rPr>
          <w:sz w:val="17"/>
        </w:rPr>
        <w:t xml:space="preserve">, um </w:t>
      </w:r>
      <w:r w:rsidR="007F2630">
        <w:rPr>
          <w:sz w:val="17"/>
        </w:rPr>
        <w:t>ge</w:t>
      </w:r>
      <w:r w:rsidR="005949DC">
        <w:rPr>
          <w:sz w:val="17"/>
        </w:rPr>
        <w:softHyphen/>
      </w:r>
      <w:r w:rsidR="007F2630">
        <w:rPr>
          <w:sz w:val="17"/>
        </w:rPr>
        <w:t xml:space="preserve">meinsam </w:t>
      </w:r>
      <w:r w:rsidR="00C428E7">
        <w:rPr>
          <w:sz w:val="17"/>
        </w:rPr>
        <w:t>als Veranstalter den XI. Turnaroundkongress im Jahr 2023 auszurichten</w:t>
      </w:r>
      <w:r w:rsidR="004E4A6C">
        <w:rPr>
          <w:sz w:val="17"/>
        </w:rPr>
        <w:t xml:space="preserve">. </w:t>
      </w:r>
      <w:r w:rsidR="00C428E7">
        <w:rPr>
          <w:sz w:val="17"/>
        </w:rPr>
        <w:t xml:space="preserve">Die zehn Veranstaltungen zuvor waren von Prof. Dr. Hans Haarmeyer als Erfinder des Events anfangs noch unter anderem </w:t>
      </w:r>
      <w:r w:rsidR="007F2630">
        <w:rPr>
          <w:sz w:val="17"/>
        </w:rPr>
        <w:t>Kongressnamen</w:t>
      </w:r>
      <w:r w:rsidR="00C428E7">
        <w:rPr>
          <w:sz w:val="17"/>
        </w:rPr>
        <w:t xml:space="preserve"> vor allem vom Deutschen Institut für Angewandtes Insolvenzrecht e.V. (DIAI) angeboten worden. </w:t>
      </w:r>
      <w:r w:rsidR="007F2630">
        <w:rPr>
          <w:sz w:val="17"/>
        </w:rPr>
        <w:t>In den ersten Jahren lag der Schwerpunkt vor allem auf juristi</w:t>
      </w:r>
      <w:r w:rsidR="005949DC">
        <w:rPr>
          <w:sz w:val="17"/>
        </w:rPr>
        <w:softHyphen/>
      </w:r>
      <w:r w:rsidR="007F2630">
        <w:rPr>
          <w:sz w:val="17"/>
        </w:rPr>
        <w:t>schen Fragen rund um Insolvenzen und die Rechte von Gläubigern gegenüber Schuldnern. Als Turnaroundkongress hat sich das inhaltliche Angebot insbesondere in den vergangenen sechs Jahren immer stärker zur Aufklärung über Krisenschutz und Krisen</w:t>
      </w:r>
      <w:r w:rsidR="005949DC">
        <w:rPr>
          <w:sz w:val="17"/>
        </w:rPr>
        <w:softHyphen/>
      </w:r>
      <w:r w:rsidR="007F2630">
        <w:rPr>
          <w:sz w:val="17"/>
        </w:rPr>
        <w:t xml:space="preserve">bewältigung für Unternehmen entwickelt. Das Spektrum reicht heute von betriebswirtschaftlichen und technischen bis hin zu rechtlichen Neuerungen. Kompetente Bühnengäste präsentieren </w:t>
      </w:r>
      <w:r w:rsidR="00E45FD6">
        <w:rPr>
          <w:sz w:val="17"/>
        </w:rPr>
        <w:t>meist Instrumente und Wege, um profitable Geschäfte sicher</w:t>
      </w:r>
      <w:r w:rsidR="005949DC">
        <w:rPr>
          <w:sz w:val="17"/>
        </w:rPr>
        <w:softHyphen/>
      </w:r>
      <w:r w:rsidR="00E45FD6">
        <w:rPr>
          <w:sz w:val="17"/>
        </w:rPr>
        <w:t>zustellen, damit Firmen gar nicht erst in schwierige Situationen kommen. Und wenn disruptive Marktveränderungen doch für eine Schieflage sorgen, zeigen die Experten beim Turnaroundkongress wie diese zukunftsorientiert zu meistern ist.</w:t>
      </w:r>
    </w:p>
    <w:p w14:paraId="11CEBDDE" w14:textId="77777777" w:rsidR="00155167" w:rsidRDefault="00155167" w:rsidP="00D92457">
      <w:pPr>
        <w:jc w:val="right"/>
      </w:pPr>
    </w:p>
    <w:p w14:paraId="19D22D37" w14:textId="094AB357" w:rsidR="00D92457" w:rsidRDefault="00D92457" w:rsidP="00D92457">
      <w:pPr>
        <w:jc w:val="right"/>
        <w:rPr>
          <w:b/>
          <w:sz w:val="17"/>
        </w:rPr>
      </w:pPr>
      <w:r>
        <w:t>Seite 2 von 2</w:t>
      </w:r>
    </w:p>
    <w:sectPr w:rsidR="00D92457" w:rsidSect="00833097">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B05E2" w14:textId="77777777" w:rsidR="00A065B1" w:rsidRDefault="00A065B1" w:rsidP="00C30F01">
      <w:r>
        <w:separator/>
      </w:r>
    </w:p>
  </w:endnote>
  <w:endnote w:type="continuationSeparator" w:id="0">
    <w:p w14:paraId="308D3209" w14:textId="77777777" w:rsidR="00A065B1" w:rsidRDefault="00A065B1" w:rsidP="00C30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8992D" w14:textId="77777777" w:rsidR="00A065B1" w:rsidRDefault="00A065B1" w:rsidP="00C30F01">
      <w:r>
        <w:separator/>
      </w:r>
    </w:p>
  </w:footnote>
  <w:footnote w:type="continuationSeparator" w:id="0">
    <w:p w14:paraId="53B452A1" w14:textId="77777777" w:rsidR="00A065B1" w:rsidRDefault="00A065B1" w:rsidP="00C30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596E" w14:textId="476815C2" w:rsidR="00E50BBE" w:rsidRDefault="00E50BBE" w:rsidP="00E50BBE">
    <w:pPr>
      <w:pStyle w:val="Kopfzeile"/>
      <w:rPr>
        <w:rFonts w:cs="Arial"/>
        <w:b/>
        <w:sz w:val="16"/>
        <w:szCs w:val="16"/>
      </w:rPr>
    </w:pPr>
    <w:r>
      <w:rPr>
        <w:noProof/>
      </w:rPr>
      <w:drawing>
        <wp:anchor distT="0" distB="0" distL="114300" distR="114300" simplePos="0" relativeHeight="251658240" behindDoc="1" locked="0" layoutInCell="1" allowOverlap="1" wp14:anchorId="1FBC19BC" wp14:editId="4B5F4C6E">
          <wp:simplePos x="0" y="0"/>
          <wp:positionH relativeFrom="column">
            <wp:posOffset>4161972</wp:posOffset>
          </wp:positionH>
          <wp:positionV relativeFrom="paragraph">
            <wp:posOffset>-36407</wp:posOffset>
          </wp:positionV>
          <wp:extent cx="1661840" cy="830920"/>
          <wp:effectExtent l="0" t="0" r="1905" b="0"/>
          <wp:wrapNone/>
          <wp:docPr id="14896586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65864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61840" cy="830920"/>
                  </a:xfrm>
                  <a:prstGeom prst="rect">
                    <a:avLst/>
                  </a:prstGeom>
                </pic:spPr>
              </pic:pic>
            </a:graphicData>
          </a:graphic>
          <wp14:sizeRelH relativeFrom="margin">
            <wp14:pctWidth>0</wp14:pctWidth>
          </wp14:sizeRelH>
          <wp14:sizeRelV relativeFrom="margin">
            <wp14:pctHeight>0</wp14:pctHeight>
          </wp14:sizeRelV>
        </wp:anchor>
      </w:drawing>
    </w:r>
    <w:r w:rsidRPr="00314C53">
      <w:rPr>
        <w:rFonts w:cs="Arial"/>
        <w:b/>
        <w:sz w:val="16"/>
        <w:szCs w:val="16"/>
      </w:rPr>
      <w:t>Transformation- und Turnaroundkongress GbR</w:t>
    </w:r>
  </w:p>
  <w:p w14:paraId="2FB25371" w14:textId="6B5A17CA" w:rsidR="00E50BBE" w:rsidRPr="00314C53" w:rsidRDefault="00E50BBE" w:rsidP="00E50BBE">
    <w:pPr>
      <w:pStyle w:val="Kopfzeile"/>
      <w:rPr>
        <w:rFonts w:cs="Arial"/>
        <w:b/>
        <w:sz w:val="16"/>
        <w:szCs w:val="16"/>
      </w:rPr>
    </w:pPr>
    <w:r w:rsidRPr="00314C53">
      <w:rPr>
        <w:rFonts w:cs="Arial"/>
        <w:b/>
        <w:sz w:val="16"/>
        <w:szCs w:val="16"/>
      </w:rPr>
      <w:t>Geschäftsführung</w:t>
    </w:r>
  </w:p>
  <w:p w14:paraId="6737D67D" w14:textId="2BCEA100" w:rsidR="00E50BBE" w:rsidRPr="00314C53" w:rsidRDefault="00E50BBE" w:rsidP="00E50BBE">
    <w:pPr>
      <w:pStyle w:val="Kopfzeile"/>
      <w:rPr>
        <w:rFonts w:cs="Arial"/>
        <w:b/>
        <w:sz w:val="16"/>
        <w:szCs w:val="16"/>
      </w:rPr>
    </w:pPr>
    <w:r w:rsidRPr="00314C53">
      <w:rPr>
        <w:rFonts w:cs="Arial"/>
        <w:b/>
        <w:sz w:val="16"/>
        <w:szCs w:val="16"/>
      </w:rPr>
      <w:t>c/o Kanzlei Rombach Rechtsanwälte</w:t>
    </w:r>
  </w:p>
  <w:p w14:paraId="642C5B57" w14:textId="1792945F" w:rsidR="00E50BBE" w:rsidRPr="00314C53" w:rsidRDefault="00E50BBE" w:rsidP="00E50BBE">
    <w:pPr>
      <w:pStyle w:val="Kopfzeile"/>
      <w:rPr>
        <w:rFonts w:cs="Arial"/>
        <w:b/>
        <w:sz w:val="16"/>
        <w:szCs w:val="16"/>
      </w:rPr>
    </w:pPr>
    <w:r w:rsidRPr="00314C53">
      <w:rPr>
        <w:rFonts w:cs="Arial"/>
        <w:b/>
        <w:sz w:val="16"/>
        <w:szCs w:val="16"/>
      </w:rPr>
      <w:t>André Rombach</w:t>
    </w:r>
  </w:p>
  <w:p w14:paraId="14B901F5" w14:textId="70F48B68" w:rsidR="00E50BBE" w:rsidRPr="00314C53" w:rsidRDefault="00E50BBE" w:rsidP="00E50BBE">
    <w:pPr>
      <w:pStyle w:val="Kopfzeile"/>
      <w:rPr>
        <w:rFonts w:cs="Arial"/>
        <w:b/>
        <w:sz w:val="16"/>
        <w:szCs w:val="16"/>
      </w:rPr>
    </w:pPr>
    <w:r w:rsidRPr="00314C53">
      <w:rPr>
        <w:rFonts w:cs="Arial"/>
        <w:b/>
        <w:sz w:val="16"/>
        <w:szCs w:val="16"/>
      </w:rPr>
      <w:t>Hirschlachufer 11</w:t>
    </w:r>
  </w:p>
  <w:p w14:paraId="188CD651" w14:textId="2156FFC8" w:rsidR="00E50BBE" w:rsidRDefault="00E50BBE" w:rsidP="00E50BBE">
    <w:pPr>
      <w:pStyle w:val="Kopfzeile"/>
      <w:pBdr>
        <w:bottom w:val="single" w:sz="4" w:space="1" w:color="auto"/>
      </w:pBdr>
      <w:rPr>
        <w:rFonts w:cs="Arial"/>
        <w:b/>
        <w:sz w:val="16"/>
        <w:szCs w:val="16"/>
      </w:rPr>
    </w:pPr>
    <w:r w:rsidRPr="00314C53">
      <w:rPr>
        <w:rFonts w:cs="Arial"/>
        <w:b/>
        <w:sz w:val="16"/>
        <w:szCs w:val="16"/>
      </w:rPr>
      <w:t>D-99084 ERFURT</w:t>
    </w:r>
  </w:p>
  <w:p w14:paraId="7EDAB30B" w14:textId="77777777" w:rsidR="00B80AFB" w:rsidRDefault="00B80AFB" w:rsidP="00E50BBE">
    <w:pPr>
      <w:pStyle w:val="Kopfzeile"/>
      <w:pBdr>
        <w:bottom w:val="single" w:sz="4" w:space="1" w:color="auto"/>
      </w:pBdr>
      <w:rPr>
        <w:rFonts w:cs="Arial"/>
        <w:b/>
        <w:sz w:val="16"/>
        <w:szCs w:val="16"/>
      </w:rPr>
    </w:pPr>
  </w:p>
  <w:p w14:paraId="214E87A0" w14:textId="77777777" w:rsidR="00E50BBE" w:rsidRPr="00314C53" w:rsidRDefault="00E50BBE" w:rsidP="00E50BBE">
    <w:pPr>
      <w:pStyle w:val="Kopfzeile"/>
      <w:pBdr>
        <w:bottom w:val="single" w:sz="4" w:space="1" w:color="auto"/>
      </w:pBdr>
      <w:rPr>
        <w:rFonts w:cs="Arial"/>
        <w:b/>
        <w:sz w:val="16"/>
        <w:szCs w:val="16"/>
      </w:rPr>
    </w:pPr>
  </w:p>
  <w:p w14:paraId="0D9F0EC5" w14:textId="64A5CAF5" w:rsidR="00C30F01" w:rsidRDefault="00C30F01" w:rsidP="00E50BBE">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F01"/>
    <w:rsid w:val="00014703"/>
    <w:rsid w:val="00035CD3"/>
    <w:rsid w:val="00043429"/>
    <w:rsid w:val="000624AB"/>
    <w:rsid w:val="00076D2B"/>
    <w:rsid w:val="000A0900"/>
    <w:rsid w:val="000B1F50"/>
    <w:rsid w:val="000C5791"/>
    <w:rsid w:val="001238DB"/>
    <w:rsid w:val="00155167"/>
    <w:rsid w:val="00155236"/>
    <w:rsid w:val="00171D22"/>
    <w:rsid w:val="001A2F06"/>
    <w:rsid w:val="001E7935"/>
    <w:rsid w:val="001F02B7"/>
    <w:rsid w:val="002474E4"/>
    <w:rsid w:val="00265593"/>
    <w:rsid w:val="00271E21"/>
    <w:rsid w:val="00282893"/>
    <w:rsid w:val="00284BEB"/>
    <w:rsid w:val="00285183"/>
    <w:rsid w:val="002A1D34"/>
    <w:rsid w:val="002B5187"/>
    <w:rsid w:val="002F2C28"/>
    <w:rsid w:val="00314C53"/>
    <w:rsid w:val="0036017B"/>
    <w:rsid w:val="00360953"/>
    <w:rsid w:val="0038108F"/>
    <w:rsid w:val="00381A7D"/>
    <w:rsid w:val="00386640"/>
    <w:rsid w:val="003C45D8"/>
    <w:rsid w:val="003D38BC"/>
    <w:rsid w:val="003E3AC2"/>
    <w:rsid w:val="00410109"/>
    <w:rsid w:val="00417F2A"/>
    <w:rsid w:val="004204D8"/>
    <w:rsid w:val="00464ED7"/>
    <w:rsid w:val="00467936"/>
    <w:rsid w:val="00480F14"/>
    <w:rsid w:val="0048432D"/>
    <w:rsid w:val="004C7929"/>
    <w:rsid w:val="004E21F7"/>
    <w:rsid w:val="004E4A6C"/>
    <w:rsid w:val="004F5D74"/>
    <w:rsid w:val="004F6BF4"/>
    <w:rsid w:val="005317C3"/>
    <w:rsid w:val="005618C1"/>
    <w:rsid w:val="005707A3"/>
    <w:rsid w:val="005729C4"/>
    <w:rsid w:val="005949DC"/>
    <w:rsid w:val="005975FD"/>
    <w:rsid w:val="005A4720"/>
    <w:rsid w:val="00607A0F"/>
    <w:rsid w:val="006379B9"/>
    <w:rsid w:val="006971EC"/>
    <w:rsid w:val="006B467C"/>
    <w:rsid w:val="006B7A9B"/>
    <w:rsid w:val="006E1145"/>
    <w:rsid w:val="006F3C8B"/>
    <w:rsid w:val="00717EAB"/>
    <w:rsid w:val="00730F67"/>
    <w:rsid w:val="0074222C"/>
    <w:rsid w:val="00751F81"/>
    <w:rsid w:val="00755B16"/>
    <w:rsid w:val="00791279"/>
    <w:rsid w:val="007A638C"/>
    <w:rsid w:val="007B5105"/>
    <w:rsid w:val="007B6173"/>
    <w:rsid w:val="007D31CA"/>
    <w:rsid w:val="007F1EA3"/>
    <w:rsid w:val="007F2630"/>
    <w:rsid w:val="007F4FAD"/>
    <w:rsid w:val="007F79B3"/>
    <w:rsid w:val="0081714D"/>
    <w:rsid w:val="00822538"/>
    <w:rsid w:val="00833097"/>
    <w:rsid w:val="008539C6"/>
    <w:rsid w:val="00855B0A"/>
    <w:rsid w:val="00877F28"/>
    <w:rsid w:val="00883FAA"/>
    <w:rsid w:val="00891340"/>
    <w:rsid w:val="00891444"/>
    <w:rsid w:val="008A613C"/>
    <w:rsid w:val="008B306A"/>
    <w:rsid w:val="008D4071"/>
    <w:rsid w:val="008E7D57"/>
    <w:rsid w:val="008F2B47"/>
    <w:rsid w:val="0090561D"/>
    <w:rsid w:val="0092625C"/>
    <w:rsid w:val="0095490F"/>
    <w:rsid w:val="00964C21"/>
    <w:rsid w:val="00970810"/>
    <w:rsid w:val="009D0E7D"/>
    <w:rsid w:val="00A01C02"/>
    <w:rsid w:val="00A06542"/>
    <w:rsid w:val="00A065B1"/>
    <w:rsid w:val="00A3399E"/>
    <w:rsid w:val="00A55F82"/>
    <w:rsid w:val="00A72685"/>
    <w:rsid w:val="00A842E6"/>
    <w:rsid w:val="00AC1EE0"/>
    <w:rsid w:val="00AE4AA2"/>
    <w:rsid w:val="00B73CF8"/>
    <w:rsid w:val="00B80AFB"/>
    <w:rsid w:val="00B96751"/>
    <w:rsid w:val="00BA5E40"/>
    <w:rsid w:val="00BD2DE0"/>
    <w:rsid w:val="00BE75E9"/>
    <w:rsid w:val="00C204A6"/>
    <w:rsid w:val="00C23B5D"/>
    <w:rsid w:val="00C30F01"/>
    <w:rsid w:val="00C428E7"/>
    <w:rsid w:val="00C47EBD"/>
    <w:rsid w:val="00C539A8"/>
    <w:rsid w:val="00C56E71"/>
    <w:rsid w:val="00C74B64"/>
    <w:rsid w:val="00C9537D"/>
    <w:rsid w:val="00CA13A0"/>
    <w:rsid w:val="00CC4318"/>
    <w:rsid w:val="00CF6044"/>
    <w:rsid w:val="00D0357D"/>
    <w:rsid w:val="00D2651F"/>
    <w:rsid w:val="00D92457"/>
    <w:rsid w:val="00D95D03"/>
    <w:rsid w:val="00DA1A14"/>
    <w:rsid w:val="00DA4800"/>
    <w:rsid w:val="00DA50B1"/>
    <w:rsid w:val="00DA69E1"/>
    <w:rsid w:val="00DD7D3F"/>
    <w:rsid w:val="00DE7BE1"/>
    <w:rsid w:val="00E45FD6"/>
    <w:rsid w:val="00E50BBE"/>
    <w:rsid w:val="00E52EEE"/>
    <w:rsid w:val="00E955D2"/>
    <w:rsid w:val="00E974DE"/>
    <w:rsid w:val="00EF5D59"/>
    <w:rsid w:val="00EF6E9E"/>
    <w:rsid w:val="00F167DC"/>
    <w:rsid w:val="00F22855"/>
    <w:rsid w:val="00F309B9"/>
    <w:rsid w:val="00F658DF"/>
    <w:rsid w:val="00F867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93630"/>
  <w15:chartTrackingRefBased/>
  <w15:docId w15:val="{5B31D9C5-5928-4F4B-8D87-77643D583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0F01"/>
    <w:pPr>
      <w:widowControl w:val="0"/>
      <w:autoSpaceDE w:val="0"/>
      <w:autoSpaceDN w:val="0"/>
    </w:pPr>
    <w:rPr>
      <w:rFonts w:ascii="Calibri" w:eastAsia="Calibri" w:hAnsi="Calibri" w:cs="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30F01"/>
    <w:pPr>
      <w:widowControl/>
      <w:tabs>
        <w:tab w:val="center" w:pos="4536"/>
        <w:tab w:val="right" w:pos="9072"/>
      </w:tabs>
      <w:autoSpaceDE/>
      <w:autoSpaceDN/>
    </w:pPr>
    <w:rPr>
      <w:rFonts w:asciiTheme="minorHAnsi" w:eastAsiaTheme="minorHAnsi" w:hAnsiTheme="minorHAnsi" w:cstheme="minorBidi"/>
      <w:sz w:val="24"/>
      <w:szCs w:val="24"/>
    </w:rPr>
  </w:style>
  <w:style w:type="character" w:customStyle="1" w:styleId="KopfzeileZchn">
    <w:name w:val="Kopfzeile Zchn"/>
    <w:basedOn w:val="Absatz-Standardschriftart"/>
    <w:link w:val="Kopfzeile"/>
    <w:uiPriority w:val="99"/>
    <w:rsid w:val="00C30F01"/>
  </w:style>
  <w:style w:type="paragraph" w:styleId="Fuzeile">
    <w:name w:val="footer"/>
    <w:basedOn w:val="Standard"/>
    <w:link w:val="FuzeileZchn"/>
    <w:uiPriority w:val="99"/>
    <w:unhideWhenUsed/>
    <w:rsid w:val="00C30F01"/>
    <w:pPr>
      <w:widowControl/>
      <w:tabs>
        <w:tab w:val="center" w:pos="4536"/>
        <w:tab w:val="right" w:pos="9072"/>
      </w:tabs>
      <w:autoSpaceDE/>
      <w:autoSpaceDN/>
    </w:pPr>
    <w:rPr>
      <w:rFonts w:asciiTheme="minorHAnsi" w:eastAsiaTheme="minorHAnsi" w:hAnsiTheme="minorHAnsi" w:cstheme="minorBidi"/>
      <w:sz w:val="24"/>
      <w:szCs w:val="24"/>
    </w:rPr>
  </w:style>
  <w:style w:type="character" w:customStyle="1" w:styleId="FuzeileZchn">
    <w:name w:val="Fußzeile Zchn"/>
    <w:basedOn w:val="Absatz-Standardschriftart"/>
    <w:link w:val="Fuzeile"/>
    <w:uiPriority w:val="99"/>
    <w:rsid w:val="00C30F01"/>
  </w:style>
  <w:style w:type="paragraph" w:styleId="Textkrper">
    <w:name w:val="Body Text"/>
    <w:basedOn w:val="Standard"/>
    <w:link w:val="TextkrperZchn"/>
    <w:uiPriority w:val="1"/>
    <w:qFormat/>
    <w:rsid w:val="00C30F01"/>
    <w:rPr>
      <w:sz w:val="21"/>
      <w:szCs w:val="21"/>
    </w:rPr>
  </w:style>
  <w:style w:type="character" w:customStyle="1" w:styleId="TextkrperZchn">
    <w:name w:val="Textkörper Zchn"/>
    <w:basedOn w:val="Absatz-Standardschriftart"/>
    <w:link w:val="Textkrper"/>
    <w:uiPriority w:val="1"/>
    <w:rsid w:val="00C30F01"/>
    <w:rPr>
      <w:rFonts w:ascii="Calibri" w:eastAsia="Calibri" w:hAnsi="Calibri" w:cs="Calibri"/>
      <w:sz w:val="21"/>
      <w:szCs w:val="21"/>
    </w:rPr>
  </w:style>
  <w:style w:type="paragraph" w:styleId="Titel">
    <w:name w:val="Title"/>
    <w:basedOn w:val="Standard"/>
    <w:link w:val="TitelZchn"/>
    <w:uiPriority w:val="10"/>
    <w:qFormat/>
    <w:rsid w:val="00C30F01"/>
    <w:pPr>
      <w:ind w:left="156" w:right="121"/>
    </w:pPr>
    <w:rPr>
      <w:b/>
      <w:bCs/>
      <w:sz w:val="36"/>
      <w:szCs w:val="36"/>
    </w:rPr>
  </w:style>
  <w:style w:type="character" w:customStyle="1" w:styleId="TitelZchn">
    <w:name w:val="Titel Zchn"/>
    <w:basedOn w:val="Absatz-Standardschriftart"/>
    <w:link w:val="Titel"/>
    <w:uiPriority w:val="10"/>
    <w:rsid w:val="00C30F01"/>
    <w:rPr>
      <w:rFonts w:ascii="Calibri" w:eastAsia="Calibri" w:hAnsi="Calibri" w:cs="Calibri"/>
      <w:b/>
      <w:bCs/>
      <w:sz w:val="36"/>
      <w:szCs w:val="36"/>
    </w:rPr>
  </w:style>
  <w:style w:type="table" w:customStyle="1" w:styleId="TableNormal">
    <w:name w:val="Table Normal"/>
    <w:uiPriority w:val="2"/>
    <w:semiHidden/>
    <w:unhideWhenUsed/>
    <w:qFormat/>
    <w:rsid w:val="00C30F01"/>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C30F01"/>
    <w:pPr>
      <w:spacing w:line="173" w:lineRule="exact"/>
      <w:ind w:left="50"/>
    </w:pPr>
  </w:style>
  <w:style w:type="character" w:styleId="Hyperlink">
    <w:name w:val="Hyperlink"/>
    <w:basedOn w:val="Absatz-Standardschriftart"/>
    <w:uiPriority w:val="99"/>
    <w:unhideWhenUsed/>
    <w:rsid w:val="005975FD"/>
    <w:rPr>
      <w:color w:val="0563C1" w:themeColor="hyperlink"/>
      <w:u w:val="single"/>
    </w:rPr>
  </w:style>
  <w:style w:type="character" w:styleId="NichtaufgelsteErwhnung">
    <w:name w:val="Unresolved Mention"/>
    <w:basedOn w:val="Absatz-Standardschriftart"/>
    <w:uiPriority w:val="99"/>
    <w:semiHidden/>
    <w:unhideWhenUsed/>
    <w:rsid w:val="005975FD"/>
    <w:rPr>
      <w:color w:val="605E5C"/>
      <w:shd w:val="clear" w:color="auto" w:fill="E1DFDD"/>
    </w:rPr>
  </w:style>
  <w:style w:type="paragraph" w:styleId="Sprechblasentext">
    <w:name w:val="Balloon Text"/>
    <w:basedOn w:val="Standard"/>
    <w:link w:val="SprechblasentextZchn"/>
    <w:uiPriority w:val="99"/>
    <w:semiHidden/>
    <w:unhideWhenUsed/>
    <w:rsid w:val="00A01C02"/>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A01C02"/>
    <w:rPr>
      <w:rFonts w:ascii="Times New Roman" w:eastAsia="Calibri" w:hAnsi="Times New Roman" w:cs="Times New Roman"/>
      <w:sz w:val="18"/>
      <w:szCs w:val="18"/>
    </w:rPr>
  </w:style>
  <w:style w:type="paragraph" w:styleId="StandardWeb">
    <w:name w:val="Normal (Web)"/>
    <w:basedOn w:val="Standard"/>
    <w:uiPriority w:val="99"/>
    <w:unhideWhenUsed/>
    <w:rsid w:val="00480F14"/>
    <w:pPr>
      <w:widowControl/>
      <w:autoSpaceDE/>
      <w:autoSpaceDN/>
      <w:spacing w:before="100" w:beforeAutospacing="1" w:after="100" w:afterAutospacing="1"/>
    </w:pPr>
    <w:rPr>
      <w:rFonts w:ascii="Times New Roman" w:eastAsia="Times New Roman" w:hAnsi="Times New Roman" w:cs="Times New Roman"/>
      <w:sz w:val="24"/>
      <w:szCs w:val="24"/>
      <w:lang w:eastAsia="de-DE"/>
    </w:rPr>
  </w:style>
  <w:style w:type="paragraph" w:customStyle="1" w:styleId="p1">
    <w:name w:val="p1"/>
    <w:basedOn w:val="Standard"/>
    <w:rsid w:val="00480F14"/>
    <w:pPr>
      <w:widowControl/>
      <w:autoSpaceDE/>
      <w:autoSpaceDN/>
      <w:spacing w:before="100" w:beforeAutospacing="1" w:after="100" w:afterAutospacing="1"/>
    </w:pPr>
    <w:rPr>
      <w:rFonts w:ascii="Times New Roman" w:eastAsia="Times New Roman" w:hAnsi="Times New Roman" w:cs="Times New Roman"/>
      <w:sz w:val="24"/>
      <w:szCs w:val="24"/>
      <w:lang w:eastAsia="de-DE"/>
    </w:rPr>
  </w:style>
  <w:style w:type="character" w:customStyle="1" w:styleId="s1">
    <w:name w:val="s1"/>
    <w:basedOn w:val="Absatz-Standardschriftart"/>
    <w:rsid w:val="00480F14"/>
  </w:style>
  <w:style w:type="character" w:customStyle="1" w:styleId="apple-converted-space">
    <w:name w:val="apple-converted-space"/>
    <w:basedOn w:val="Absatz-Standardschriftart"/>
    <w:rsid w:val="00480F14"/>
  </w:style>
  <w:style w:type="character" w:styleId="Hervorhebung">
    <w:name w:val="Emphasis"/>
    <w:basedOn w:val="Absatz-Standardschriftart"/>
    <w:uiPriority w:val="20"/>
    <w:qFormat/>
    <w:rsid w:val="00CF60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390858">
      <w:bodyDiv w:val="1"/>
      <w:marLeft w:val="0"/>
      <w:marRight w:val="0"/>
      <w:marTop w:val="0"/>
      <w:marBottom w:val="0"/>
      <w:divBdr>
        <w:top w:val="none" w:sz="0" w:space="0" w:color="auto"/>
        <w:left w:val="none" w:sz="0" w:space="0" w:color="auto"/>
        <w:bottom w:val="none" w:sz="0" w:space="0" w:color="auto"/>
        <w:right w:val="none" w:sz="0" w:space="0" w:color="auto"/>
      </w:divBdr>
      <w:divsChild>
        <w:div w:id="763456343">
          <w:marLeft w:val="0"/>
          <w:marRight w:val="0"/>
          <w:marTop w:val="0"/>
          <w:marBottom w:val="0"/>
          <w:divBdr>
            <w:top w:val="none" w:sz="0" w:space="0" w:color="auto"/>
            <w:left w:val="none" w:sz="0" w:space="0" w:color="auto"/>
            <w:bottom w:val="none" w:sz="0" w:space="0" w:color="auto"/>
            <w:right w:val="none" w:sz="0" w:space="0" w:color="auto"/>
          </w:divBdr>
        </w:div>
      </w:divsChild>
    </w:div>
    <w:div w:id="1219366726">
      <w:bodyDiv w:val="1"/>
      <w:marLeft w:val="0"/>
      <w:marRight w:val="0"/>
      <w:marTop w:val="0"/>
      <w:marBottom w:val="0"/>
      <w:divBdr>
        <w:top w:val="none" w:sz="0" w:space="0" w:color="auto"/>
        <w:left w:val="none" w:sz="0" w:space="0" w:color="auto"/>
        <w:bottom w:val="none" w:sz="0" w:space="0" w:color="auto"/>
        <w:right w:val="none" w:sz="0" w:space="0" w:color="auto"/>
      </w:divBdr>
    </w:div>
    <w:div w:id="1806466520">
      <w:bodyDiv w:val="1"/>
      <w:marLeft w:val="0"/>
      <w:marRight w:val="0"/>
      <w:marTop w:val="0"/>
      <w:marBottom w:val="0"/>
      <w:divBdr>
        <w:top w:val="none" w:sz="0" w:space="0" w:color="auto"/>
        <w:left w:val="none" w:sz="0" w:space="0" w:color="auto"/>
        <w:bottom w:val="none" w:sz="0" w:space="0" w:color="auto"/>
        <w:right w:val="none" w:sz="0" w:space="0" w:color="auto"/>
      </w:divBdr>
      <w:divsChild>
        <w:div w:id="1934438836">
          <w:marLeft w:val="0"/>
          <w:marRight w:val="0"/>
          <w:marTop w:val="0"/>
          <w:marBottom w:val="0"/>
          <w:divBdr>
            <w:top w:val="none" w:sz="0" w:space="0" w:color="auto"/>
            <w:left w:val="none" w:sz="0" w:space="0" w:color="auto"/>
            <w:bottom w:val="none" w:sz="0" w:space="0" w:color="auto"/>
            <w:right w:val="none" w:sz="0" w:space="0" w:color="auto"/>
          </w:divBdr>
        </w:div>
      </w:divsChild>
    </w:div>
    <w:div w:id="1813906889">
      <w:bodyDiv w:val="1"/>
      <w:marLeft w:val="0"/>
      <w:marRight w:val="0"/>
      <w:marTop w:val="0"/>
      <w:marBottom w:val="0"/>
      <w:divBdr>
        <w:top w:val="none" w:sz="0" w:space="0" w:color="auto"/>
        <w:left w:val="none" w:sz="0" w:space="0" w:color="auto"/>
        <w:bottom w:val="none" w:sz="0" w:space="0" w:color="auto"/>
        <w:right w:val="none" w:sz="0" w:space="0" w:color="auto"/>
      </w:divBdr>
      <w:divsChild>
        <w:div w:id="1079212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7320849">
              <w:marLeft w:val="0"/>
              <w:marRight w:val="0"/>
              <w:marTop w:val="0"/>
              <w:marBottom w:val="0"/>
              <w:divBdr>
                <w:top w:val="none" w:sz="0" w:space="0" w:color="auto"/>
                <w:left w:val="none" w:sz="0" w:space="0" w:color="auto"/>
                <w:bottom w:val="none" w:sz="0" w:space="0" w:color="auto"/>
                <w:right w:val="none" w:sz="0" w:space="0" w:color="auto"/>
              </w:divBdr>
              <w:divsChild>
                <w:div w:id="13855933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270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50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urnaroundkongress.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926</Words>
  <Characters>5835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Garber</dc:creator>
  <cp:keywords/>
  <dc:description/>
  <cp:lastModifiedBy>Thorsten Garber</cp:lastModifiedBy>
  <cp:revision>4</cp:revision>
  <cp:lastPrinted>2024-06-04T09:29:00Z</cp:lastPrinted>
  <dcterms:created xsi:type="dcterms:W3CDTF">2024-06-04T09:29:00Z</dcterms:created>
  <dcterms:modified xsi:type="dcterms:W3CDTF">2024-06-04T12:05:00Z</dcterms:modified>
</cp:coreProperties>
</file>